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6C450" w14:textId="77777777" w:rsidR="00295956" w:rsidRPr="00C44D12" w:rsidRDefault="00295956" w:rsidP="00295956">
      <w:pPr>
        <w:pBdr>
          <w:top w:val="nil"/>
          <w:left w:val="nil"/>
          <w:bottom w:val="nil"/>
          <w:right w:val="nil"/>
          <w:between w:val="nil"/>
        </w:pBdr>
        <w:spacing w:before="22"/>
        <w:ind w:left="119"/>
        <w:jc w:val="center"/>
        <w:rPr>
          <w:rFonts w:eastAsia="Times New Roman" w:cstheme="minorHAnsi"/>
          <w:b/>
          <w:sz w:val="32"/>
          <w:szCs w:val="32"/>
        </w:rPr>
      </w:pPr>
      <w:r w:rsidRPr="00C44D12">
        <w:rPr>
          <w:rFonts w:eastAsia="Times New Roman" w:cstheme="minorHAnsi"/>
          <w:b/>
          <w:sz w:val="32"/>
          <w:szCs w:val="32"/>
        </w:rPr>
        <w:t>Instructions and Guidelines for Completing the End-Use/End-User Statement (“EUS”)</w:t>
      </w:r>
    </w:p>
    <w:p w14:paraId="2525FFD0" w14:textId="77777777" w:rsidR="00295956" w:rsidRPr="00C44D12" w:rsidRDefault="00295956" w:rsidP="00295956">
      <w:pPr>
        <w:pBdr>
          <w:top w:val="nil"/>
          <w:left w:val="nil"/>
          <w:bottom w:val="nil"/>
          <w:right w:val="nil"/>
          <w:between w:val="nil"/>
        </w:pBdr>
        <w:spacing w:before="22"/>
        <w:ind w:left="119"/>
        <w:rPr>
          <w:rFonts w:eastAsia="Times New Roman" w:cstheme="minorHAnsi"/>
          <w:sz w:val="24"/>
          <w:szCs w:val="24"/>
        </w:rPr>
      </w:pPr>
    </w:p>
    <w:p w14:paraId="3DD3A4BB" w14:textId="01B258F3" w:rsidR="00295956" w:rsidRPr="006D2C67" w:rsidRDefault="00295956" w:rsidP="00295956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eastAsia="Times New Roman" w:cstheme="minorHAnsi"/>
          <w:sz w:val="24"/>
          <w:szCs w:val="24"/>
        </w:rPr>
      </w:pPr>
      <w:r w:rsidRPr="006D2C67">
        <w:rPr>
          <w:rFonts w:eastAsia="Times New Roman" w:cstheme="minorHAnsi"/>
          <w:sz w:val="24"/>
          <w:szCs w:val="24"/>
        </w:rPr>
        <w:t>The EUS is a document used in the determination of whether an export license is necessary to ship Narda-MITEQ’s products.  It is critical that the EUS be completed accurately with sufficient detail to enable confirmation of the information provided.</w:t>
      </w:r>
    </w:p>
    <w:p w14:paraId="20213B04" w14:textId="317C59B6" w:rsidR="00295956" w:rsidRPr="006D2C67" w:rsidRDefault="00295956" w:rsidP="00295956">
      <w:pPr>
        <w:rPr>
          <w:rFonts w:cstheme="minorHAnsi"/>
          <w:b/>
          <w:bCs/>
          <w:noProof/>
          <w:sz w:val="24"/>
          <w:szCs w:val="24"/>
        </w:rPr>
      </w:pPr>
      <w:r w:rsidRPr="006D2C67">
        <w:rPr>
          <w:rFonts w:cstheme="minorHAnsi"/>
          <w:b/>
          <w:bCs/>
          <w:noProof/>
          <w:sz w:val="24"/>
          <w:szCs w:val="24"/>
        </w:rPr>
        <w:t>End User Statements Require the following inform</w:t>
      </w:r>
      <w:r w:rsidR="00087714">
        <w:rPr>
          <w:rFonts w:cstheme="minorHAnsi"/>
          <w:b/>
          <w:bCs/>
          <w:noProof/>
          <w:sz w:val="24"/>
          <w:szCs w:val="24"/>
        </w:rPr>
        <w:t>a</w:t>
      </w:r>
      <w:r w:rsidRPr="006D2C67">
        <w:rPr>
          <w:rFonts w:cstheme="minorHAnsi"/>
          <w:b/>
          <w:bCs/>
          <w:noProof/>
          <w:sz w:val="24"/>
          <w:szCs w:val="24"/>
        </w:rPr>
        <w:t xml:space="preserve">tion: </w:t>
      </w:r>
    </w:p>
    <w:p w14:paraId="5D582DF1" w14:textId="77777777" w:rsidR="00DB6D77" w:rsidRPr="006D2C67" w:rsidRDefault="00DB6D77" w:rsidP="006D2C67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>Each country should be listed on a separate end user statement and purchase order.</w:t>
      </w:r>
    </w:p>
    <w:p w14:paraId="6FB3C3E0" w14:textId="77777777" w:rsidR="00C44D12" w:rsidRPr="006D2C67" w:rsidRDefault="00C44D12" w:rsidP="00C44D12">
      <w:pPr>
        <w:pStyle w:val="ListParagraph"/>
        <w:ind w:left="72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C2379B5" w14:textId="1AAFDA8C" w:rsidR="00295956" w:rsidRPr="006D2C67" w:rsidRDefault="00295956" w:rsidP="006D2C67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>Must be on letterhead</w:t>
      </w:r>
      <w:r w:rsidR="0063511F"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or company stamped</w:t>
      </w:r>
      <w:r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3F091BD3" w14:textId="77777777" w:rsidR="00C44D12" w:rsidRPr="006D2C67" w:rsidRDefault="00C44D12" w:rsidP="00C44D12">
      <w:pPr>
        <w:pStyle w:val="ListParagraph"/>
        <w:ind w:left="720" w:firstLine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800F0B1" w14:textId="77777777" w:rsidR="00295956" w:rsidRPr="006D2C67" w:rsidRDefault="00295956" w:rsidP="006D2C67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D2C67">
        <w:rPr>
          <w:rFonts w:eastAsia="Times New Roman" w:cstheme="minorHAnsi"/>
          <w:color w:val="000000"/>
          <w:sz w:val="24"/>
          <w:szCs w:val="24"/>
        </w:rPr>
        <w:t xml:space="preserve">Must be signed. </w:t>
      </w:r>
    </w:p>
    <w:p w14:paraId="5B3F060B" w14:textId="77777777" w:rsidR="00C44D12" w:rsidRPr="006D2C67" w:rsidRDefault="00C44D12" w:rsidP="00C44D12">
      <w:pPr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</w:rPr>
      </w:pPr>
    </w:p>
    <w:p w14:paraId="158BBCE4" w14:textId="227B2A43" w:rsidR="00C44D12" w:rsidRPr="006D2C67" w:rsidRDefault="0063511F" w:rsidP="006D2C67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D2C67">
        <w:rPr>
          <w:rFonts w:eastAsia="Times New Roman" w:cstheme="minorHAnsi"/>
          <w:color w:val="000000"/>
          <w:sz w:val="24"/>
          <w:szCs w:val="24"/>
        </w:rPr>
        <w:t xml:space="preserve">All </w:t>
      </w:r>
      <w:r w:rsidR="00295956" w:rsidRPr="006D2C67">
        <w:rPr>
          <w:rFonts w:eastAsia="Times New Roman" w:cstheme="minorHAnsi"/>
          <w:color w:val="000000"/>
          <w:sz w:val="24"/>
          <w:szCs w:val="24"/>
        </w:rPr>
        <w:t xml:space="preserve">parties </w:t>
      </w:r>
      <w:r w:rsidRPr="006D2C67">
        <w:rPr>
          <w:rFonts w:eastAsia="Times New Roman" w:cstheme="minorHAnsi"/>
          <w:color w:val="000000"/>
          <w:sz w:val="24"/>
          <w:szCs w:val="24"/>
        </w:rPr>
        <w:t xml:space="preserve">must have </w:t>
      </w:r>
      <w:r w:rsidR="00295956" w:rsidRPr="006D2C67">
        <w:rPr>
          <w:rFonts w:eastAsia="Times New Roman" w:cstheme="minorHAnsi"/>
          <w:color w:val="000000"/>
          <w:sz w:val="24"/>
          <w:szCs w:val="24"/>
        </w:rPr>
        <w:t xml:space="preserve">complete </w:t>
      </w:r>
      <w:r w:rsidR="00845FA2" w:rsidRPr="006D2C67">
        <w:rPr>
          <w:rFonts w:eastAsia="Times New Roman" w:cstheme="minorHAnsi"/>
          <w:color w:val="000000"/>
          <w:sz w:val="24"/>
          <w:szCs w:val="24"/>
        </w:rPr>
        <w:t xml:space="preserve">names and </w:t>
      </w:r>
      <w:r w:rsidR="00295956" w:rsidRPr="006D2C67">
        <w:rPr>
          <w:rFonts w:eastAsia="Times New Roman" w:cstheme="minorHAnsi"/>
          <w:color w:val="000000"/>
          <w:sz w:val="24"/>
          <w:szCs w:val="24"/>
        </w:rPr>
        <w:t>addresses.</w:t>
      </w:r>
      <w:r w:rsidR="00845FA2" w:rsidRPr="006D2C67">
        <w:rPr>
          <w:rFonts w:eastAsia="Times New Roman" w:cstheme="minorHAnsi"/>
          <w:color w:val="000000"/>
          <w:sz w:val="24"/>
          <w:szCs w:val="24"/>
        </w:rPr>
        <w:t xml:space="preserve"> It is critical that business names and addresses be complete and verifiable.  Do not include P.O. boxes or APO numbers.</w:t>
      </w:r>
    </w:p>
    <w:p w14:paraId="72DD7DDA" w14:textId="77777777" w:rsidR="00C44D12" w:rsidRPr="006D2C67" w:rsidRDefault="00C44D12" w:rsidP="00C44D12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64227CE" w14:textId="4D6921DD" w:rsidR="00845FA2" w:rsidRPr="006D2C67" w:rsidRDefault="00845FA2" w:rsidP="006D2C67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B191D">
        <w:rPr>
          <w:rFonts w:eastAsia="Times New Roman" w:cstheme="minorHAnsi"/>
          <w:b/>
          <w:bCs/>
          <w:sz w:val="24"/>
          <w:szCs w:val="24"/>
        </w:rPr>
        <w:t>Direct Purchaser:</w:t>
      </w:r>
      <w:r w:rsidRPr="006D2C67">
        <w:rPr>
          <w:rFonts w:eastAsia="Times New Roman" w:cstheme="minorHAnsi"/>
          <w:sz w:val="24"/>
          <w:szCs w:val="24"/>
        </w:rPr>
        <w:t xml:space="preserve">  The party placing the purchase order to Narda</w:t>
      </w:r>
      <w:r w:rsidR="006D2C67">
        <w:rPr>
          <w:rFonts w:eastAsia="Times New Roman" w:cstheme="minorHAnsi"/>
          <w:sz w:val="24"/>
          <w:szCs w:val="24"/>
        </w:rPr>
        <w:t>-</w:t>
      </w:r>
      <w:r w:rsidRPr="006D2C67">
        <w:rPr>
          <w:rFonts w:eastAsia="Times New Roman" w:cstheme="minorHAnsi"/>
          <w:sz w:val="24"/>
          <w:szCs w:val="24"/>
        </w:rPr>
        <w:t xml:space="preserve">MITEQ must match the name and address of the purchase order. </w:t>
      </w:r>
    </w:p>
    <w:p w14:paraId="394D9634" w14:textId="77777777" w:rsidR="00C44D12" w:rsidRPr="006D2C67" w:rsidRDefault="00C44D12" w:rsidP="00CA5BE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CC1AB6B" w14:textId="79BF421F" w:rsidR="00CA5BE1" w:rsidRPr="006D2C67" w:rsidRDefault="0063511F" w:rsidP="006D2C6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24"/>
          <w:szCs w:val="24"/>
        </w:rPr>
      </w:pPr>
      <w:r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Contract/</w:t>
      </w:r>
      <w:r w:rsidR="00845FA2"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Purchase Order:</w:t>
      </w:r>
      <w:r w:rsidR="00845FA2" w:rsidRPr="006D2C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B191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45FA2" w:rsidRPr="006D2C67">
        <w:rPr>
          <w:rFonts w:asciiTheme="minorHAnsi" w:eastAsia="Times New Roman" w:hAnsiTheme="minorHAnsi" w:cstheme="minorHAnsi"/>
          <w:sz w:val="24"/>
          <w:szCs w:val="24"/>
        </w:rPr>
        <w:t xml:space="preserve">This is the number of the order placed with Narda-MITEQ.  </w:t>
      </w:r>
    </w:p>
    <w:p w14:paraId="5F1F20E7" w14:textId="77777777" w:rsidR="0063511F" w:rsidRPr="006D2C67" w:rsidRDefault="0063511F" w:rsidP="0063511F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00B94881" w14:textId="5BE669F9" w:rsidR="0063511F" w:rsidRPr="006D2C67" w:rsidRDefault="0063511F" w:rsidP="006D2C67">
      <w:pPr>
        <w:pStyle w:val="ListParagraph"/>
        <w:numPr>
          <w:ilvl w:val="0"/>
          <w:numId w:val="6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FB191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End use</w:t>
      </w:r>
      <w:r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to include the name of systems, subsystems, and end use platform (including the name of the vessel, vehicle, ground system) and the end use of the system.  </w:t>
      </w:r>
      <w:r w:rsidR="006D2C67"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(An example is listed at the bottom of the document.  Please ensure that all the </w:t>
      </w:r>
      <w:r w:rsidR="0008771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bolded </w:t>
      </w:r>
      <w:r w:rsidR="006D2C67" w:rsidRPr="006D2C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information is clear and listed on the end use.)  </w:t>
      </w:r>
    </w:p>
    <w:p w14:paraId="3812A214" w14:textId="77777777" w:rsidR="00C44D12" w:rsidRPr="006D2C67" w:rsidRDefault="00C44D12" w:rsidP="00CA5B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07E3F0E" w14:textId="73DCD409" w:rsidR="00C44D12" w:rsidRPr="006D2C67" w:rsidRDefault="00845FA2" w:rsidP="006D2C6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24"/>
          <w:szCs w:val="24"/>
        </w:rPr>
      </w:pPr>
      <w:r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Country of Ultimate End Use</w:t>
      </w:r>
      <w:r w:rsidR="00FB191D"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FB191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D2C67">
        <w:rPr>
          <w:rFonts w:asciiTheme="minorHAnsi" w:eastAsia="Times New Roman" w:hAnsiTheme="minorHAnsi" w:cstheme="minorHAnsi"/>
          <w:sz w:val="24"/>
          <w:szCs w:val="24"/>
        </w:rPr>
        <w:t xml:space="preserve"> Country in which the end use product will be used. </w:t>
      </w:r>
    </w:p>
    <w:p w14:paraId="33102E97" w14:textId="77777777" w:rsidR="0063511F" w:rsidRPr="006D2C67" w:rsidRDefault="0063511F" w:rsidP="0063511F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62DC28A5" w14:textId="2302FE00" w:rsidR="0063511F" w:rsidRPr="006D2C67" w:rsidRDefault="0063511F" w:rsidP="006D2C6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Ultimate End-User:</w:t>
      </w:r>
      <w:r w:rsidRPr="006D2C67">
        <w:rPr>
          <w:rFonts w:asciiTheme="minorHAnsi" w:eastAsia="Times New Roman" w:hAnsiTheme="minorHAnsi" w:cstheme="minorHAnsi"/>
          <w:sz w:val="24"/>
          <w:szCs w:val="24"/>
        </w:rPr>
        <w:t xml:space="preserve">  This is the party that is the final recipient of Narda-MITEQ’s product. Integrated into a specific platform this is typically the foreign Ministry of Defense, Army, Navy, or Air Force.  </w:t>
      </w:r>
    </w:p>
    <w:p w14:paraId="699FCCBE" w14:textId="77777777" w:rsidR="0063511F" w:rsidRPr="006D2C67" w:rsidRDefault="0063511F" w:rsidP="0063511F">
      <w:pPr>
        <w:pStyle w:val="ListParagraph"/>
        <w:pBdr>
          <w:top w:val="nil"/>
          <w:left w:val="nil"/>
          <w:bottom w:val="nil"/>
          <w:right w:val="nil"/>
          <w:between w:val="nil"/>
        </w:pBdr>
        <w:autoSpaceDE/>
        <w:autoSpaceDN/>
        <w:ind w:left="720" w:firstLine="0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03AB50F3" w14:textId="5E061632" w:rsidR="006D2C67" w:rsidRPr="006D2C67" w:rsidRDefault="0063511F" w:rsidP="006D2C6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FB191D">
        <w:rPr>
          <w:rFonts w:asciiTheme="minorHAnsi" w:hAnsiTheme="minorHAnsi" w:cstheme="minorHAnsi"/>
          <w:b/>
          <w:bCs/>
          <w:sz w:val="24"/>
          <w:szCs w:val="24"/>
        </w:rPr>
        <w:t>Additional Foreign Consignees</w:t>
      </w:r>
      <w:r w:rsidRPr="006D2C67">
        <w:rPr>
          <w:rFonts w:asciiTheme="minorHAnsi" w:hAnsiTheme="minorHAnsi" w:cstheme="minorHAnsi"/>
          <w:sz w:val="24"/>
          <w:szCs w:val="24"/>
        </w:rPr>
        <w:t xml:space="preserve"> (please identify any additional parties involved in the transaction or may gain access to the items e.g., repair and maintain, operate, process or use, as applicable):</w:t>
      </w:r>
    </w:p>
    <w:p w14:paraId="31D23E1D" w14:textId="77777777" w:rsidR="006D2C67" w:rsidRPr="006D2C67" w:rsidRDefault="006D2C67" w:rsidP="006D2C6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2AB30BA3" w14:textId="77777777" w:rsidR="006D2C67" w:rsidRPr="006D2C67" w:rsidRDefault="006D2C67" w:rsidP="006D2C67">
      <w:pPr>
        <w:pStyle w:val="ListParagraph"/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7C7B332C" w14:textId="52EB8EE1" w:rsidR="0063511F" w:rsidRPr="006D2C67" w:rsidRDefault="006D2C67" w:rsidP="006D2C67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24"/>
          <w:szCs w:val="24"/>
        </w:rPr>
      </w:pPr>
      <w:r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Foreign</w:t>
      </w:r>
      <w:r w:rsidR="0063511F"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freight forwarders</w:t>
      </w:r>
      <w:r w:rsidR="00845FA2"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  <w:r w:rsidR="00845FA2" w:rsidRPr="006D2C67">
        <w:rPr>
          <w:rFonts w:asciiTheme="minorHAnsi" w:eastAsia="Times New Roman" w:hAnsiTheme="minorHAnsi" w:cstheme="minorHAnsi"/>
          <w:sz w:val="24"/>
          <w:szCs w:val="24"/>
        </w:rPr>
        <w:t xml:space="preserve">  These are parties to the transaction that are moving the item, but not actually examining or using it.  Simply put: if a party is merely </w:t>
      </w:r>
      <w:r w:rsidR="00845FA2" w:rsidRPr="006D2C67">
        <w:rPr>
          <w:rFonts w:asciiTheme="minorHAnsi" w:eastAsia="Times New Roman" w:hAnsiTheme="minorHAnsi" w:cstheme="minorHAnsi"/>
          <w:i/>
          <w:sz w:val="24"/>
          <w:szCs w:val="24"/>
        </w:rPr>
        <w:t>moving</w:t>
      </w:r>
      <w:r w:rsidR="00845FA2" w:rsidRPr="006D2C67">
        <w:rPr>
          <w:rFonts w:asciiTheme="minorHAnsi" w:eastAsia="Times New Roman" w:hAnsiTheme="minorHAnsi" w:cstheme="minorHAnsi"/>
          <w:sz w:val="24"/>
          <w:szCs w:val="24"/>
        </w:rPr>
        <w:t xml:space="preserve"> the box containing the item (not </w:t>
      </w:r>
      <w:r w:rsidR="00845FA2" w:rsidRPr="006D2C67">
        <w:rPr>
          <w:rFonts w:asciiTheme="minorHAnsi" w:eastAsia="Times New Roman" w:hAnsiTheme="minorHAnsi" w:cstheme="minorHAnsi"/>
          <w:i/>
          <w:sz w:val="24"/>
          <w:szCs w:val="24"/>
        </w:rPr>
        <w:t>opening</w:t>
      </w:r>
      <w:r w:rsidR="00845FA2" w:rsidRPr="006D2C67">
        <w:rPr>
          <w:rFonts w:asciiTheme="minorHAnsi" w:eastAsia="Times New Roman" w:hAnsiTheme="minorHAnsi" w:cstheme="minorHAnsi"/>
          <w:sz w:val="24"/>
          <w:szCs w:val="24"/>
        </w:rPr>
        <w:t xml:space="preserve"> the box), usually a freight </w:t>
      </w:r>
      <w:r w:rsidR="00845FA2" w:rsidRPr="006D2C67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forwarder in the country that it is being delivered.  Each country should have at least one freight forwarder listed. </w:t>
      </w:r>
      <w:r w:rsidR="0039687F">
        <w:rPr>
          <w:rFonts w:asciiTheme="minorHAnsi" w:eastAsia="Times New Roman" w:hAnsiTheme="minorHAnsi" w:cstheme="minorHAnsi"/>
          <w:sz w:val="24"/>
          <w:szCs w:val="24"/>
        </w:rPr>
        <w:t xml:space="preserve"> Their role should be listed as logistics. </w:t>
      </w:r>
    </w:p>
    <w:p w14:paraId="59E1C1CC" w14:textId="77777777" w:rsidR="006D2C67" w:rsidRPr="006D2C67" w:rsidRDefault="006D2C67" w:rsidP="006D2C6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 w:firstLine="0"/>
        <w:rPr>
          <w:rFonts w:asciiTheme="minorHAnsi" w:eastAsia="Times New Roman" w:hAnsiTheme="minorHAnsi" w:cstheme="minorHAnsi"/>
          <w:sz w:val="24"/>
          <w:szCs w:val="24"/>
        </w:rPr>
      </w:pPr>
    </w:p>
    <w:p w14:paraId="5FF22670" w14:textId="18621CF8" w:rsidR="00845FA2" w:rsidRPr="006D2C67" w:rsidRDefault="00845FA2" w:rsidP="006D2C67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sz w:val="24"/>
          <w:szCs w:val="24"/>
        </w:rPr>
      </w:pPr>
      <w:r w:rsidRPr="00FB191D">
        <w:rPr>
          <w:rFonts w:asciiTheme="minorHAnsi" w:eastAsia="Times New Roman" w:hAnsiTheme="minorHAnsi" w:cstheme="minorHAnsi"/>
          <w:b/>
          <w:bCs/>
          <w:sz w:val="24"/>
          <w:szCs w:val="24"/>
        </w:rPr>
        <w:t>Consignee:</w:t>
      </w:r>
      <w:r w:rsidRPr="006D2C67">
        <w:rPr>
          <w:rFonts w:asciiTheme="minorHAnsi" w:eastAsia="Times New Roman" w:hAnsiTheme="minorHAnsi" w:cstheme="minorHAnsi"/>
          <w:sz w:val="24"/>
          <w:szCs w:val="24"/>
        </w:rPr>
        <w:t xml:space="preserve">  This is the party that will integrate the Narda-MITEQ part, into the subsystem, or final system, they may also do repair and maintain, operate, process, or use maintenance, painting, manufacturing.</w:t>
      </w:r>
      <w:r w:rsidR="006D2C67" w:rsidRPr="006D2C67">
        <w:rPr>
          <w:rFonts w:asciiTheme="minorHAnsi" w:eastAsia="Times New Roman" w:hAnsiTheme="minorHAnsi" w:cstheme="minorHAnsi"/>
          <w:sz w:val="24"/>
          <w:szCs w:val="24"/>
        </w:rPr>
        <w:t xml:space="preserve">  Please add what they are integrating, repairing etc. in the role of each of the parties. </w:t>
      </w:r>
    </w:p>
    <w:p w14:paraId="3EC0F792" w14:textId="77777777" w:rsidR="00C44D12" w:rsidRPr="006D2C67" w:rsidRDefault="00C44D12" w:rsidP="00CA5BE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1263D541" w14:textId="77777777" w:rsidR="00C44D12" w:rsidRPr="006D2C67" w:rsidRDefault="00C44D12" w:rsidP="00C44D12">
      <w:pPr>
        <w:pStyle w:val="ListParagraph"/>
        <w:rPr>
          <w:rFonts w:asciiTheme="minorHAnsi" w:eastAsia="Times New Roman" w:hAnsiTheme="minorHAnsi" w:cstheme="minorHAnsi"/>
          <w:sz w:val="24"/>
          <w:szCs w:val="24"/>
        </w:rPr>
      </w:pPr>
    </w:p>
    <w:p w14:paraId="4AE9F60E" w14:textId="463CCB9D" w:rsidR="00295956" w:rsidRPr="006D2C67" w:rsidRDefault="00295956" w:rsidP="00CA5BE1">
      <w:pPr>
        <w:ind w:firstLine="360"/>
        <w:rPr>
          <w:rFonts w:cstheme="minorHAnsi"/>
          <w:b/>
          <w:bCs/>
          <w:sz w:val="24"/>
          <w:szCs w:val="24"/>
        </w:rPr>
      </w:pPr>
      <w:r w:rsidRPr="006D2C67">
        <w:rPr>
          <w:rFonts w:cstheme="minorHAnsi"/>
          <w:b/>
          <w:bCs/>
          <w:color w:val="000000"/>
          <w:sz w:val="24"/>
          <w:szCs w:val="24"/>
        </w:rPr>
        <w:t xml:space="preserve">Example of end user statement is below. </w:t>
      </w:r>
    </w:p>
    <w:p w14:paraId="3DB512EA" w14:textId="5F5AA694" w:rsidR="00295956" w:rsidRPr="006D2C67" w:rsidRDefault="00295956" w:rsidP="00C44D12">
      <w:pPr>
        <w:ind w:left="720"/>
        <w:rPr>
          <w:rFonts w:cstheme="minorHAnsi"/>
          <w:color w:val="000000"/>
          <w:sz w:val="24"/>
          <w:szCs w:val="24"/>
        </w:rPr>
      </w:pPr>
      <w:r w:rsidRPr="006D2C67">
        <w:rPr>
          <w:rFonts w:cstheme="minorHAnsi"/>
          <w:sz w:val="24"/>
          <w:szCs w:val="24"/>
        </w:rPr>
        <w:t> </w:t>
      </w:r>
      <w:r w:rsidRPr="006D2C67">
        <w:rPr>
          <w:rFonts w:cstheme="minorHAnsi"/>
          <w:color w:val="000000"/>
          <w:sz w:val="24"/>
          <w:szCs w:val="24"/>
        </w:rPr>
        <w:t>The (</w:t>
      </w:r>
      <w:r w:rsidRPr="00087714">
        <w:rPr>
          <w:rFonts w:cstheme="minorHAnsi"/>
          <w:b/>
          <w:bCs/>
          <w:color w:val="FF0000"/>
          <w:sz w:val="24"/>
          <w:szCs w:val="24"/>
        </w:rPr>
        <w:t>name of product or products</w:t>
      </w:r>
      <w:r w:rsidRPr="006D2C67">
        <w:rPr>
          <w:rFonts w:cstheme="minorHAnsi"/>
          <w:color w:val="000000"/>
          <w:sz w:val="24"/>
          <w:szCs w:val="24"/>
        </w:rPr>
        <w:t>) will be integrated into the (</w:t>
      </w:r>
      <w:r w:rsidRPr="00087714">
        <w:rPr>
          <w:rFonts w:cstheme="minorHAnsi"/>
          <w:b/>
          <w:bCs/>
          <w:color w:val="FF0000"/>
          <w:sz w:val="24"/>
          <w:szCs w:val="24"/>
        </w:rPr>
        <w:t>subsystem Name</w:t>
      </w:r>
      <w:r w:rsidRPr="006D2C67">
        <w:rPr>
          <w:rFonts w:cstheme="minorHAnsi"/>
          <w:color w:val="000000"/>
          <w:sz w:val="24"/>
          <w:szCs w:val="24"/>
        </w:rPr>
        <w:t>) which will be integrated into the (</w:t>
      </w:r>
      <w:r w:rsidRPr="00087714">
        <w:rPr>
          <w:rFonts w:cstheme="minorHAnsi"/>
          <w:b/>
          <w:bCs/>
          <w:color w:val="FF0000"/>
          <w:sz w:val="24"/>
          <w:szCs w:val="24"/>
        </w:rPr>
        <w:t>system name</w:t>
      </w:r>
      <w:r w:rsidRPr="006D2C67">
        <w:rPr>
          <w:rFonts w:cstheme="minorHAnsi"/>
          <w:color w:val="000000"/>
          <w:sz w:val="24"/>
          <w:szCs w:val="24"/>
        </w:rPr>
        <w:t>) by (</w:t>
      </w:r>
      <w:r w:rsidRPr="00087714">
        <w:rPr>
          <w:rFonts w:cstheme="minorHAnsi"/>
          <w:b/>
          <w:bCs/>
          <w:color w:val="FF0000"/>
          <w:sz w:val="24"/>
          <w:szCs w:val="24"/>
        </w:rPr>
        <w:t>name of integrator</w:t>
      </w:r>
      <w:r w:rsidRPr="006D2C67">
        <w:rPr>
          <w:rFonts w:cstheme="minorHAnsi"/>
          <w:color w:val="000000"/>
          <w:sz w:val="24"/>
          <w:szCs w:val="24"/>
        </w:rPr>
        <w:t>).  The (</w:t>
      </w:r>
      <w:r w:rsidRPr="00087714">
        <w:rPr>
          <w:rFonts w:cstheme="minorHAnsi"/>
          <w:b/>
          <w:bCs/>
          <w:color w:val="FF0000"/>
          <w:sz w:val="24"/>
          <w:szCs w:val="24"/>
        </w:rPr>
        <w:t>name of system</w:t>
      </w:r>
      <w:r w:rsidRPr="006D2C67">
        <w:rPr>
          <w:rFonts w:cstheme="minorHAnsi"/>
          <w:color w:val="000000"/>
          <w:sz w:val="24"/>
          <w:szCs w:val="24"/>
        </w:rPr>
        <w:t xml:space="preserve">) will then be provided to the end user to be integrated/ mounted onto the </w:t>
      </w:r>
      <w:r w:rsidR="00845FA2" w:rsidRPr="006D2C67">
        <w:rPr>
          <w:rFonts w:cstheme="minorHAnsi"/>
          <w:color w:val="000000"/>
          <w:sz w:val="24"/>
          <w:szCs w:val="24"/>
        </w:rPr>
        <w:t>(</w:t>
      </w:r>
      <w:r w:rsidR="00845FA2" w:rsidRPr="00087714">
        <w:rPr>
          <w:rFonts w:cstheme="minorHAnsi"/>
          <w:b/>
          <w:bCs/>
          <w:color w:val="FF0000"/>
          <w:sz w:val="24"/>
          <w:szCs w:val="24"/>
        </w:rPr>
        <w:t>platform</w:t>
      </w:r>
      <w:r w:rsidRPr="00087714">
        <w:rPr>
          <w:rFonts w:cstheme="minorHAnsi"/>
          <w:b/>
          <w:bCs/>
          <w:color w:val="FF0000"/>
          <w:sz w:val="24"/>
          <w:szCs w:val="24"/>
        </w:rPr>
        <w:t xml:space="preserve"> - vessel name or vehicle name and information or if a ground system not being integrated/mounted onto anything please state that</w:t>
      </w:r>
      <w:r w:rsidRPr="006D2C67">
        <w:rPr>
          <w:rFonts w:cstheme="minorHAnsi"/>
          <w:color w:val="000000"/>
          <w:sz w:val="24"/>
          <w:szCs w:val="24"/>
        </w:rPr>
        <w:t>) and used for</w:t>
      </w:r>
      <w:r w:rsidR="00845FA2" w:rsidRPr="006D2C67">
        <w:rPr>
          <w:rFonts w:cstheme="minorHAnsi"/>
          <w:color w:val="000000"/>
          <w:sz w:val="24"/>
          <w:szCs w:val="24"/>
        </w:rPr>
        <w:t xml:space="preserve"> (</w:t>
      </w:r>
      <w:r w:rsidRPr="00087714">
        <w:rPr>
          <w:rFonts w:cstheme="minorHAnsi"/>
          <w:b/>
          <w:bCs/>
          <w:color w:val="FF0000"/>
          <w:sz w:val="24"/>
          <w:szCs w:val="24"/>
        </w:rPr>
        <w:t>end use of the system</w:t>
      </w:r>
      <w:r w:rsidRPr="006D2C67">
        <w:rPr>
          <w:rFonts w:cstheme="minorHAnsi"/>
          <w:color w:val="000000"/>
          <w:sz w:val="24"/>
          <w:szCs w:val="24"/>
        </w:rPr>
        <w:t>) by the (</w:t>
      </w:r>
      <w:r w:rsidRPr="00087714">
        <w:rPr>
          <w:rFonts w:cstheme="minorHAnsi"/>
          <w:b/>
          <w:bCs/>
          <w:color w:val="FF0000"/>
          <w:sz w:val="24"/>
          <w:szCs w:val="24"/>
        </w:rPr>
        <w:t>end username</w:t>
      </w:r>
      <w:r w:rsidRPr="006D2C67">
        <w:rPr>
          <w:rFonts w:cstheme="minorHAnsi"/>
          <w:color w:val="000000"/>
          <w:sz w:val="24"/>
          <w:szCs w:val="24"/>
        </w:rPr>
        <w:t>).</w:t>
      </w:r>
    </w:p>
    <w:sectPr w:rsidR="00295956" w:rsidRPr="006D2C67" w:rsidSect="000259D2">
      <w:headerReference w:type="default" r:id="rId10"/>
      <w:footerReference w:type="default" r:id="rId11"/>
      <w:pgSz w:w="12240" w:h="15840" w:code="1"/>
      <w:pgMar w:top="1872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D79E" w14:textId="77777777" w:rsidR="000259D2" w:rsidRDefault="000259D2" w:rsidP="00902EDE">
      <w:pPr>
        <w:spacing w:after="0" w:line="240" w:lineRule="auto"/>
      </w:pPr>
      <w:r>
        <w:separator/>
      </w:r>
    </w:p>
  </w:endnote>
  <w:endnote w:type="continuationSeparator" w:id="0">
    <w:p w14:paraId="354C0076" w14:textId="77777777" w:rsidR="000259D2" w:rsidRDefault="000259D2" w:rsidP="0090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F8DF" w14:textId="178733AF" w:rsidR="000F7EFB" w:rsidRPr="00966EF8" w:rsidRDefault="000F7EFB" w:rsidP="00966EF8">
    <w:pPr>
      <w:pStyle w:val="Footer"/>
      <w:spacing w:before="60"/>
      <w:jc w:val="center"/>
      <w:rPr>
        <w:rFonts w:ascii="Arial" w:hAnsi="Arial" w:cs="Arial"/>
        <w:w w:val="107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45BB" w14:textId="77777777" w:rsidR="000259D2" w:rsidRDefault="000259D2" w:rsidP="00902EDE">
      <w:pPr>
        <w:spacing w:after="0" w:line="240" w:lineRule="auto"/>
      </w:pPr>
      <w:r>
        <w:separator/>
      </w:r>
    </w:p>
  </w:footnote>
  <w:footnote w:type="continuationSeparator" w:id="0">
    <w:p w14:paraId="5C2D5CBB" w14:textId="77777777" w:rsidR="000259D2" w:rsidRDefault="000259D2" w:rsidP="00902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7FCD" w14:textId="75C9E709" w:rsidR="00902EDE" w:rsidRDefault="004E055F" w:rsidP="000F7EFB">
    <w:pPr>
      <w:pStyle w:val="Header"/>
      <w:ind w:left="-9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5FB79A" wp14:editId="27D61EAF">
              <wp:simplePos x="0" y="0"/>
              <wp:positionH relativeFrom="column">
                <wp:posOffset>3432175</wp:posOffset>
              </wp:positionH>
              <wp:positionV relativeFrom="paragraph">
                <wp:posOffset>71120</wp:posOffset>
              </wp:positionV>
              <wp:extent cx="2646680" cy="565785"/>
              <wp:effectExtent l="0" t="0" r="1270" b="571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6680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BE225" w14:textId="492C9312" w:rsidR="00DC6175" w:rsidRPr="004E055F" w:rsidRDefault="00DC6175" w:rsidP="004E055F">
                          <w:pPr>
                            <w:spacing w:after="0" w:line="190" w:lineRule="exact"/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4E055F"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435 Moreland Rd., Hauppauge, NY  11788</w:t>
                          </w:r>
                        </w:p>
                        <w:p w14:paraId="2CEF8BB8" w14:textId="6C38BE05" w:rsidR="00DC6175" w:rsidRPr="004E055F" w:rsidRDefault="00DC6175" w:rsidP="005355F1">
                          <w:pPr>
                            <w:spacing w:after="80" w:line="190" w:lineRule="exact"/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4E055F"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Tel: 1-(631) 231-1700 </w:t>
                          </w:r>
                          <w:r w:rsidRPr="004E055F">
                            <w:rPr>
                              <w:rFonts w:ascii="Arial" w:eastAsia="Arial Unicode MS" w:hAnsi="Arial" w:cs="Arial"/>
                              <w:color w:val="B6B6B6"/>
                              <w:spacing w:val="4"/>
                              <w:sz w:val="18"/>
                              <w:szCs w:val="18"/>
                            </w:rPr>
                            <w:t>●</w:t>
                          </w:r>
                          <w:r w:rsidRPr="004E055F"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Fax: 1-(631) 231-1711</w:t>
                          </w:r>
                        </w:p>
                        <w:p w14:paraId="7CCFE95B" w14:textId="7B7B46AA" w:rsidR="00DC6175" w:rsidRPr="004E055F" w:rsidRDefault="00DC6175" w:rsidP="004E055F">
                          <w:pPr>
                            <w:spacing w:after="0" w:line="190" w:lineRule="exact"/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4E055F">
                            <w:rPr>
                              <w:rFonts w:ascii="Arial" w:eastAsia="Arial Unicode MS" w:hAnsi="Arial" w:cs="Arial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www.nardamiteq.com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FB79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70.25pt;margin-top:5.6pt;width:208.4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" filled="f" stroked="f" strokeweight=".5pt">
              <v:textbox inset=".72pt,.72pt,.72pt,.72pt">
                <w:txbxContent>
                  <w:p w14:paraId="520BE225" w14:textId="492C9312" w:rsidR="00DC6175" w:rsidRPr="004E055F" w:rsidRDefault="00DC6175" w:rsidP="004E055F">
                    <w:pPr>
                      <w:spacing w:after="0" w:line="190" w:lineRule="exact"/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4E055F"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435 Moreland Rd., Hauppauge, NY  11788</w:t>
                    </w:r>
                  </w:p>
                  <w:p w14:paraId="2CEF8BB8" w14:textId="6C38BE05" w:rsidR="00DC6175" w:rsidRPr="004E055F" w:rsidRDefault="00DC6175" w:rsidP="005355F1">
                    <w:pPr>
                      <w:spacing w:after="80" w:line="190" w:lineRule="exact"/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4E055F"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Tel: 1-(631) 231-1700 </w:t>
                    </w:r>
                    <w:r w:rsidRPr="004E055F">
                      <w:rPr>
                        <w:rFonts w:ascii="Arial" w:eastAsia="Arial Unicode MS" w:hAnsi="Arial" w:cs="Arial"/>
                        <w:color w:val="B6B6B6"/>
                        <w:spacing w:val="4"/>
                        <w:sz w:val="18"/>
                        <w:szCs w:val="18"/>
                      </w:rPr>
                      <w:t>●</w:t>
                    </w:r>
                    <w:r w:rsidRPr="004E055F"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Fax: 1-(631) 231-1711</w:t>
                    </w:r>
                  </w:p>
                  <w:p w14:paraId="7CCFE95B" w14:textId="7B7B46AA" w:rsidR="00DC6175" w:rsidRPr="004E055F" w:rsidRDefault="00DC6175" w:rsidP="004E055F">
                    <w:pPr>
                      <w:spacing w:after="0" w:line="190" w:lineRule="exact"/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4E055F">
                      <w:rPr>
                        <w:rFonts w:ascii="Arial" w:eastAsia="Arial Unicode MS" w:hAnsi="Arial" w:cs="Arial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www.nardamiteq.com</w:t>
                    </w:r>
                  </w:p>
                </w:txbxContent>
              </v:textbox>
            </v:shape>
          </w:pict>
        </mc:Fallback>
      </mc:AlternateContent>
    </w:r>
    <w:r w:rsidR="00FF6E70"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9C6115" wp14:editId="5DB137E2">
              <wp:simplePos x="0" y="0"/>
              <wp:positionH relativeFrom="column">
                <wp:posOffset>3429000</wp:posOffset>
              </wp:positionH>
              <wp:positionV relativeFrom="paragraph">
                <wp:posOffset>346075</wp:posOffset>
              </wp:positionV>
              <wp:extent cx="2518410" cy="15875"/>
              <wp:effectExtent l="19050" t="19050" r="34290" b="222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518410" cy="15875"/>
                      </a:xfrm>
                      <a:prstGeom prst="line">
                        <a:avLst/>
                      </a:prstGeom>
                      <a:ln w="31750">
                        <a:solidFill>
                          <a:srgbClr val="B6B6B6"/>
                        </a:solidFill>
                        <a:headEnd type="none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66AE48" id="Straight Connector 4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pt,27.25pt" to="468.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" strokecolor="#b6b6b6" strokeweight="2.5pt">
              <v:stroke joinstyle="miter"/>
            </v:line>
          </w:pict>
        </mc:Fallback>
      </mc:AlternateContent>
    </w:r>
    <w:r w:rsidR="00902EDE">
      <w:rPr>
        <w:rFonts w:ascii="Times New Roman"/>
        <w:noProof/>
        <w:sz w:val="20"/>
      </w:rPr>
      <w:drawing>
        <wp:inline distT="0" distB="0" distL="0" distR="0" wp14:anchorId="51FC7FCF" wp14:editId="017BF301">
          <wp:extent cx="2600325" cy="469106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urnerj\AppData\Local\Microsoft\Windows\INetCache\Content.Word\L3Harris_logo_tm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469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1719"/>
    <w:multiLevelType w:val="hybridMultilevel"/>
    <w:tmpl w:val="83164ED0"/>
    <w:lvl w:ilvl="0" w:tplc="816445B2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theme="minorHAnsi"/>
      </w:rPr>
    </w:lvl>
    <w:lvl w:ilvl="1" w:tplc="C63C88D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5F87"/>
    <w:multiLevelType w:val="multilevel"/>
    <w:tmpl w:val="F3BC1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38070E6"/>
    <w:multiLevelType w:val="hybridMultilevel"/>
    <w:tmpl w:val="CD3AAED8"/>
    <w:lvl w:ilvl="0" w:tplc="29FE3A36">
      <w:start w:val="1"/>
      <w:numFmt w:val="decimal"/>
      <w:lvlText w:val="(%1)"/>
      <w:lvlJc w:val="left"/>
      <w:pPr>
        <w:ind w:left="546" w:hanging="415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en-US" w:eastAsia="en-US" w:bidi="ar-SA"/>
      </w:rPr>
    </w:lvl>
    <w:lvl w:ilvl="1" w:tplc="B3E4CBFA">
      <w:numFmt w:val="bullet"/>
      <w:lvlText w:val="•"/>
      <w:lvlJc w:val="left"/>
      <w:pPr>
        <w:ind w:left="1340" w:hanging="415"/>
      </w:pPr>
      <w:rPr>
        <w:rFonts w:hint="default"/>
        <w:lang w:val="en-US" w:eastAsia="en-US" w:bidi="ar-SA"/>
      </w:rPr>
    </w:lvl>
    <w:lvl w:ilvl="2" w:tplc="D488F4C4">
      <w:numFmt w:val="bullet"/>
      <w:lvlText w:val="•"/>
      <w:lvlJc w:val="left"/>
      <w:pPr>
        <w:ind w:left="2141" w:hanging="415"/>
      </w:pPr>
      <w:rPr>
        <w:rFonts w:hint="default"/>
        <w:lang w:val="en-US" w:eastAsia="en-US" w:bidi="ar-SA"/>
      </w:rPr>
    </w:lvl>
    <w:lvl w:ilvl="3" w:tplc="91BA05F8">
      <w:numFmt w:val="bullet"/>
      <w:lvlText w:val="•"/>
      <w:lvlJc w:val="left"/>
      <w:pPr>
        <w:ind w:left="2941" w:hanging="415"/>
      </w:pPr>
      <w:rPr>
        <w:rFonts w:hint="default"/>
        <w:lang w:val="en-US" w:eastAsia="en-US" w:bidi="ar-SA"/>
      </w:rPr>
    </w:lvl>
    <w:lvl w:ilvl="4" w:tplc="63BE062E">
      <w:numFmt w:val="bullet"/>
      <w:lvlText w:val="•"/>
      <w:lvlJc w:val="left"/>
      <w:pPr>
        <w:ind w:left="3742" w:hanging="415"/>
      </w:pPr>
      <w:rPr>
        <w:rFonts w:hint="default"/>
        <w:lang w:val="en-US" w:eastAsia="en-US" w:bidi="ar-SA"/>
      </w:rPr>
    </w:lvl>
    <w:lvl w:ilvl="5" w:tplc="6686B2AE">
      <w:numFmt w:val="bullet"/>
      <w:lvlText w:val="•"/>
      <w:lvlJc w:val="left"/>
      <w:pPr>
        <w:ind w:left="4543" w:hanging="415"/>
      </w:pPr>
      <w:rPr>
        <w:rFonts w:hint="default"/>
        <w:lang w:val="en-US" w:eastAsia="en-US" w:bidi="ar-SA"/>
      </w:rPr>
    </w:lvl>
    <w:lvl w:ilvl="6" w:tplc="4A063F68">
      <w:numFmt w:val="bullet"/>
      <w:lvlText w:val="•"/>
      <w:lvlJc w:val="left"/>
      <w:pPr>
        <w:ind w:left="5343" w:hanging="415"/>
      </w:pPr>
      <w:rPr>
        <w:rFonts w:hint="default"/>
        <w:lang w:val="en-US" w:eastAsia="en-US" w:bidi="ar-SA"/>
      </w:rPr>
    </w:lvl>
    <w:lvl w:ilvl="7" w:tplc="0B00667A">
      <w:numFmt w:val="bullet"/>
      <w:lvlText w:val="•"/>
      <w:lvlJc w:val="left"/>
      <w:pPr>
        <w:ind w:left="6144" w:hanging="415"/>
      </w:pPr>
      <w:rPr>
        <w:rFonts w:hint="default"/>
        <w:lang w:val="en-US" w:eastAsia="en-US" w:bidi="ar-SA"/>
      </w:rPr>
    </w:lvl>
    <w:lvl w:ilvl="8" w:tplc="D2B6389E">
      <w:numFmt w:val="bullet"/>
      <w:lvlText w:val="•"/>
      <w:lvlJc w:val="left"/>
      <w:pPr>
        <w:ind w:left="6945" w:hanging="415"/>
      </w:pPr>
      <w:rPr>
        <w:rFonts w:hint="default"/>
        <w:lang w:val="en-US" w:eastAsia="en-US" w:bidi="ar-SA"/>
      </w:rPr>
    </w:lvl>
  </w:abstractNum>
  <w:abstractNum w:abstractNumId="3" w15:restartNumberingAfterBreak="0">
    <w:nsid w:val="392166BB"/>
    <w:multiLevelType w:val="hybridMultilevel"/>
    <w:tmpl w:val="E6945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37936"/>
    <w:multiLevelType w:val="hybridMultilevel"/>
    <w:tmpl w:val="83164E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08260044">
    <w:abstractNumId w:val="2"/>
  </w:num>
  <w:num w:numId="2" w16cid:durableId="1320420014">
    <w:abstractNumId w:val="0"/>
  </w:num>
  <w:num w:numId="3" w16cid:durableId="938562307">
    <w:abstractNumId w:val="1"/>
  </w:num>
  <w:num w:numId="4" w16cid:durableId="576287219">
    <w:abstractNumId w:val="0"/>
  </w:num>
  <w:num w:numId="5" w16cid:durableId="1082292564">
    <w:abstractNumId w:val="4"/>
  </w:num>
  <w:num w:numId="6" w16cid:durableId="370493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EDE"/>
    <w:rsid w:val="00002A29"/>
    <w:rsid w:val="000259D2"/>
    <w:rsid w:val="00037889"/>
    <w:rsid w:val="00073E0A"/>
    <w:rsid w:val="00087714"/>
    <w:rsid w:val="000A3BEE"/>
    <w:rsid w:val="000F7EFB"/>
    <w:rsid w:val="00122C14"/>
    <w:rsid w:val="001447ED"/>
    <w:rsid w:val="0018220B"/>
    <w:rsid w:val="0020538E"/>
    <w:rsid w:val="00247AEB"/>
    <w:rsid w:val="00292C1C"/>
    <w:rsid w:val="00295956"/>
    <w:rsid w:val="003264A9"/>
    <w:rsid w:val="00336934"/>
    <w:rsid w:val="0036333A"/>
    <w:rsid w:val="0039392A"/>
    <w:rsid w:val="0039687F"/>
    <w:rsid w:val="003B48CB"/>
    <w:rsid w:val="0043589C"/>
    <w:rsid w:val="00485671"/>
    <w:rsid w:val="004D57A9"/>
    <w:rsid w:val="004E055F"/>
    <w:rsid w:val="004E12D6"/>
    <w:rsid w:val="0050709E"/>
    <w:rsid w:val="00513E12"/>
    <w:rsid w:val="005165CE"/>
    <w:rsid w:val="005245ED"/>
    <w:rsid w:val="005355F1"/>
    <w:rsid w:val="00556D55"/>
    <w:rsid w:val="0057545A"/>
    <w:rsid w:val="00590FF6"/>
    <w:rsid w:val="005D1E34"/>
    <w:rsid w:val="00605FAF"/>
    <w:rsid w:val="00612255"/>
    <w:rsid w:val="0063511F"/>
    <w:rsid w:val="00647706"/>
    <w:rsid w:val="006542B1"/>
    <w:rsid w:val="00655C27"/>
    <w:rsid w:val="006575C8"/>
    <w:rsid w:val="006635C0"/>
    <w:rsid w:val="006973A7"/>
    <w:rsid w:val="006B10FC"/>
    <w:rsid w:val="006D2C67"/>
    <w:rsid w:val="00703226"/>
    <w:rsid w:val="00705AA6"/>
    <w:rsid w:val="00710DA2"/>
    <w:rsid w:val="00732B7A"/>
    <w:rsid w:val="00732CA3"/>
    <w:rsid w:val="00757A97"/>
    <w:rsid w:val="007A6715"/>
    <w:rsid w:val="00845FA2"/>
    <w:rsid w:val="00860DAB"/>
    <w:rsid w:val="008C215D"/>
    <w:rsid w:val="008E0603"/>
    <w:rsid w:val="00902EDE"/>
    <w:rsid w:val="00921CBE"/>
    <w:rsid w:val="00960AA0"/>
    <w:rsid w:val="009637C1"/>
    <w:rsid w:val="00966EF8"/>
    <w:rsid w:val="00986441"/>
    <w:rsid w:val="00A26709"/>
    <w:rsid w:val="00A403F2"/>
    <w:rsid w:val="00A51CC7"/>
    <w:rsid w:val="00B22D90"/>
    <w:rsid w:val="00B24B9B"/>
    <w:rsid w:val="00B82A18"/>
    <w:rsid w:val="00BA3568"/>
    <w:rsid w:val="00C44D12"/>
    <w:rsid w:val="00C97B42"/>
    <w:rsid w:val="00CA5BE1"/>
    <w:rsid w:val="00D03BD4"/>
    <w:rsid w:val="00D770C2"/>
    <w:rsid w:val="00DB6D77"/>
    <w:rsid w:val="00DC6175"/>
    <w:rsid w:val="00DD09EB"/>
    <w:rsid w:val="00DE35F1"/>
    <w:rsid w:val="00DE42A3"/>
    <w:rsid w:val="00E169BA"/>
    <w:rsid w:val="00EB63E6"/>
    <w:rsid w:val="00EC07A6"/>
    <w:rsid w:val="00ED60FD"/>
    <w:rsid w:val="00EE665B"/>
    <w:rsid w:val="00EF56B9"/>
    <w:rsid w:val="00F01970"/>
    <w:rsid w:val="00F83370"/>
    <w:rsid w:val="00FB191D"/>
    <w:rsid w:val="00FF6E70"/>
    <w:rsid w:val="5B84940C"/>
    <w:rsid w:val="65A2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C7FC6"/>
  <w15:chartTrackingRefBased/>
  <w15:docId w15:val="{EC290D16-A765-4C12-90A4-45C60B1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02EDE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IBM Plex Sans SemiBold" w:eastAsia="IBM Plex Sans SemiBold" w:hAnsi="IBM Plex Sans SemiBold" w:cs="IBM Plex Sans SemiBold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EDE"/>
  </w:style>
  <w:style w:type="paragraph" w:styleId="Footer">
    <w:name w:val="footer"/>
    <w:basedOn w:val="Normal"/>
    <w:link w:val="FooterChar"/>
    <w:uiPriority w:val="99"/>
    <w:unhideWhenUsed/>
    <w:rsid w:val="00902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EDE"/>
  </w:style>
  <w:style w:type="paragraph" w:styleId="BodyText">
    <w:name w:val="Body Text"/>
    <w:basedOn w:val="Normal"/>
    <w:link w:val="BodyTextChar"/>
    <w:uiPriority w:val="1"/>
    <w:qFormat/>
    <w:rsid w:val="00902EDE"/>
    <w:pPr>
      <w:widowControl w:val="0"/>
      <w:autoSpaceDE w:val="0"/>
      <w:autoSpaceDN w:val="0"/>
      <w:spacing w:after="0" w:line="240" w:lineRule="auto"/>
    </w:pPr>
    <w:rPr>
      <w:rFonts w:ascii="IBM Plex Sans" w:eastAsia="IBM Plex Sans" w:hAnsi="IBM Plex Sans" w:cs="IBM Plex Sans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2EDE"/>
    <w:rPr>
      <w:rFonts w:ascii="IBM Plex Sans" w:eastAsia="IBM Plex Sans" w:hAnsi="IBM Plex Sans" w:cs="IBM Plex Sans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902EDE"/>
    <w:rPr>
      <w:rFonts w:ascii="IBM Plex Sans SemiBold" w:eastAsia="IBM Plex Sans SemiBold" w:hAnsi="IBM Plex Sans SemiBold" w:cs="IBM Plex Sans SemiBold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E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0AA0"/>
    <w:pPr>
      <w:widowControl w:val="0"/>
      <w:autoSpaceDE w:val="0"/>
      <w:autoSpaceDN w:val="0"/>
      <w:spacing w:after="0" w:line="240" w:lineRule="auto"/>
      <w:ind w:left="549" w:hanging="418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10DA2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51CC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8e4d385b-71f4-4989-a2e3-0c0aad409389" xsi:nil="true"/>
    <FormName xmlns="8e4d385b-71f4-4989-a2e3-0c0aad409389" xsi:nil="true"/>
    <FormId xmlns="8e4d385b-71f4-4989-a2e3-0c0aad409389" xsi:nil="true"/>
    <ShowInCatalog xmlns="8e4d385b-71f4-4989-a2e3-0c0aad409389">false</ShowInCatalog>
    <FormCategory xmlns="8e4d385b-71f4-4989-a2e3-0c0aad409389" xsi:nil="true"/>
    <FormVersion xmlns="8e4d385b-71f4-4989-a2e3-0c0aad409389" xsi:nil="true"/>
    <FormLocale xmlns="8e4d385b-71f4-4989-a2e3-0c0aad409389" xsi:nil="true"/>
    <CustomContentTypeId xmlns="8e4d385b-71f4-4989-a2e3-0c0aad4093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C636CA0D1B0BF64D935A25EC822C21F3" ma:contentTypeVersion="0" ma:contentTypeDescription="A Microsoft InfoPath Form Template." ma:contentTypeScope="" ma:versionID="923650b335500d38dad2eaf7357502db">
  <xsd:schema xmlns:xsd="http://www.w3.org/2001/XMLSchema" xmlns:xs="http://www.w3.org/2001/XMLSchema" xmlns:p="http://schemas.microsoft.com/office/2006/metadata/properties" xmlns:ns2="8e4d385b-71f4-4989-a2e3-0c0aad409389" targetNamespace="http://schemas.microsoft.com/office/2006/metadata/properties" ma:root="true" ma:fieldsID="d0188bcded1fa8dc60cf2fb727885405" ns2:_="">
    <xsd:import namespace="8e4d385b-71f4-4989-a2e3-0c0aad409389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385b-71f4-4989-a2e3-0c0aad409389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35692-7ACD-4707-B89D-306D2461313A}">
  <ds:schemaRefs>
    <ds:schemaRef ds:uri="http://schemas.microsoft.com/office/2006/metadata/properties"/>
    <ds:schemaRef ds:uri="http://schemas.microsoft.com/office/infopath/2007/PartnerControls"/>
    <ds:schemaRef ds:uri="8e4d385b-71f4-4989-a2e3-0c0aad409389"/>
  </ds:schemaRefs>
</ds:datastoreItem>
</file>

<file path=customXml/itemProps2.xml><?xml version="1.0" encoding="utf-8"?>
<ds:datastoreItem xmlns:ds="http://schemas.openxmlformats.org/officeDocument/2006/customXml" ds:itemID="{53210957-4625-4ADF-A612-6B53051D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d385b-71f4-4989-a2e3-0c0aad4093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72C02-BCA3-43D4-8EAE-0881BB9B1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2414</Characters>
  <Application>Microsoft Office Word</Application>
  <DocSecurity>4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L-3 Communications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Jon (US) @ CSG - LINKABIT</dc:creator>
  <cp:keywords/>
  <dc:description/>
  <cp:lastModifiedBy>Worthington, Kevin (US) - (NARDA-MITEQ)</cp:lastModifiedBy>
  <cp:revision>2</cp:revision>
  <cp:lastPrinted>2024-04-16T18:49:00Z</cp:lastPrinted>
  <dcterms:created xsi:type="dcterms:W3CDTF">2026-04-23T19:05:00Z</dcterms:created>
  <dcterms:modified xsi:type="dcterms:W3CDTF">2026-04-23T19:05:00Z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adb1c6b9-d460-4b53-b1b3-a10797946824</vt:lpwstr>
  </property>
  <property fmtid="{D5CDD505-2E9C-101B-9397-08002B2CF9AE}" pid="3" name="CLASSIFICATION">
    <vt:lpwstr>General</vt:lpwstr>
  </property>
  <property fmtid="{D5CDD505-2E9C-101B-9397-08002B2CF9AE}" pid="4" name="ContentTypeId">
    <vt:lpwstr>0x010100F8EF98760CBA4A94994F13BA881038FA00C636CA0D1B0BF64D935A25EC822C21F3</vt:lpwstr>
  </property>
  <property fmtid="{D5CDD505-2E9C-101B-9397-08002B2CF9AE}" pid="5" name="MSIP_Label_a8646e0b-a435-48bd-bb2e-6a777753dede_Enabled">
    <vt:lpwstr>true</vt:lpwstr>
  </property>
  <property fmtid="{D5CDD505-2E9C-101B-9397-08002B2CF9AE}" pid="6" name="MSIP_Label_a8646e0b-a435-48bd-bb2e-6a777753dede_SetDate">
    <vt:lpwstr>2021-10-20T17:54:59Z</vt:lpwstr>
  </property>
  <property fmtid="{D5CDD505-2E9C-101B-9397-08002B2CF9AE}" pid="7" name="MSIP_Label_a8646e0b-a435-48bd-bb2e-6a777753dede_Method">
    <vt:lpwstr>Standard</vt:lpwstr>
  </property>
  <property fmtid="{D5CDD505-2E9C-101B-9397-08002B2CF9AE}" pid="8" name="MSIP_Label_a8646e0b-a435-48bd-bb2e-6a777753dede_Name">
    <vt:lpwstr>Unrestricted</vt:lpwstr>
  </property>
  <property fmtid="{D5CDD505-2E9C-101B-9397-08002B2CF9AE}" pid="9" name="MSIP_Label_a8646e0b-a435-48bd-bb2e-6a777753dede_SiteId">
    <vt:lpwstr>ba488c5e-f105-4a2b-a8b1-b57b26a44117</vt:lpwstr>
  </property>
  <property fmtid="{D5CDD505-2E9C-101B-9397-08002B2CF9AE}" pid="10" name="MSIP_Label_a8646e0b-a435-48bd-bb2e-6a777753dede_ActionId">
    <vt:lpwstr>4ea96174-54b3-4ba3-9068-2b4e515389ab</vt:lpwstr>
  </property>
  <property fmtid="{D5CDD505-2E9C-101B-9397-08002B2CF9AE}" pid="11" name="MSIP_Label_a8646e0b-a435-48bd-bb2e-6a777753dede_ContentBits">
    <vt:lpwstr>0</vt:lpwstr>
  </property>
  <property fmtid="{D5CDD505-2E9C-101B-9397-08002B2CF9AE}" pid="12" name="MSIP_Label_defa4170-0d19-0005-0004-bc88714345d2_Enabled">
    <vt:lpwstr>true</vt:lpwstr>
  </property>
  <property fmtid="{D5CDD505-2E9C-101B-9397-08002B2CF9AE}" pid="13" name="MSIP_Label_defa4170-0d19-0005-0004-bc88714345d2_SetDate">
    <vt:lpwstr>2022-09-23T15:25:52Z</vt:lpwstr>
  </property>
  <property fmtid="{D5CDD505-2E9C-101B-9397-08002B2CF9AE}" pid="14" name="MSIP_Label_defa4170-0d19-0005-0004-bc88714345d2_Method">
    <vt:lpwstr>Standard</vt:lpwstr>
  </property>
  <property fmtid="{D5CDD505-2E9C-101B-9397-08002B2CF9AE}" pid="15" name="MSIP_Label_defa4170-0d19-0005-0004-bc88714345d2_Name">
    <vt:lpwstr>defa4170-0d19-0005-0004-bc88714345d2</vt:lpwstr>
  </property>
  <property fmtid="{D5CDD505-2E9C-101B-9397-08002B2CF9AE}" pid="16" name="MSIP_Label_defa4170-0d19-0005-0004-bc88714345d2_SiteId">
    <vt:lpwstr>3af736d2-afc3-451f-9ff8-5ebf331a1013</vt:lpwstr>
  </property>
  <property fmtid="{D5CDD505-2E9C-101B-9397-08002B2CF9AE}" pid="17" name="MSIP_Label_defa4170-0d19-0005-0004-bc88714345d2_ActionId">
    <vt:lpwstr>e4d4a6ec-a8cc-4d21-afbb-8b83151d3ce0</vt:lpwstr>
  </property>
  <property fmtid="{D5CDD505-2E9C-101B-9397-08002B2CF9AE}" pid="18" name="MSIP_Label_defa4170-0d19-0005-0004-bc88714345d2_ContentBits">
    <vt:lpwstr>0</vt:lpwstr>
  </property>
</Properties>
</file>